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BA" w:rsidRDefault="006859BA" w:rsidP="00F8159B">
      <w:pPr>
        <w:pStyle w:val="ConsPlusNonformat"/>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w:t>
      </w:r>
      <w:r w:rsidRPr="001A18C4">
        <w:rPr>
          <w:rFonts w:ascii="Times New Roman" w:hAnsi="Times New Roman" w:cs="Times New Roman"/>
          <w:sz w:val="24"/>
          <w:szCs w:val="24"/>
        </w:rPr>
        <w:t xml:space="preserve">АСПОРТ УСЛУГИ (ПРОЦЕССА) </w:t>
      </w:r>
      <w:r>
        <w:rPr>
          <w:rFonts w:ascii="Times New Roman" w:hAnsi="Times New Roman" w:cs="Times New Roman"/>
          <w:sz w:val="24"/>
          <w:szCs w:val="24"/>
        </w:rPr>
        <w:t>СЕТЕВОЙ ОРГАНИЗАЦИИ ФГУП «УЭВ»</w:t>
      </w:r>
    </w:p>
    <w:p w:rsidR="006859BA" w:rsidRPr="001A18C4" w:rsidRDefault="006859BA" w:rsidP="00F8159B">
      <w:pPr>
        <w:pStyle w:val="ConsPlusNonformat"/>
        <w:jc w:val="center"/>
        <w:rPr>
          <w:rFonts w:ascii="Times New Roman" w:hAnsi="Times New Roman" w:cs="Times New Roman"/>
          <w:sz w:val="24"/>
          <w:szCs w:val="24"/>
        </w:rPr>
      </w:pPr>
    </w:p>
    <w:p w:rsidR="006859BA" w:rsidRPr="001A18C4" w:rsidRDefault="006859BA" w:rsidP="00FD5F5F">
      <w:pPr>
        <w:pStyle w:val="ConsPlusNonformat"/>
        <w:ind w:firstLine="709"/>
        <w:jc w:val="center"/>
        <w:rPr>
          <w:rFonts w:ascii="Times New Roman" w:hAnsi="Times New Roman" w:cs="Times New Roman"/>
          <w:sz w:val="24"/>
          <w:szCs w:val="24"/>
        </w:rPr>
      </w:pPr>
      <w:r>
        <w:rPr>
          <w:rFonts w:ascii="Times New Roman" w:hAnsi="Times New Roman"/>
        </w:rPr>
        <w:t>«</w:t>
      </w:r>
      <w:r>
        <w:rPr>
          <w:rFonts w:ascii="Times New Roman" w:hAnsi="Times New Roman" w:cs="Times New Roman"/>
          <w:sz w:val="24"/>
          <w:szCs w:val="24"/>
        </w:rPr>
        <w:t>По т</w:t>
      </w:r>
      <w:r w:rsidRPr="00010B8C">
        <w:rPr>
          <w:rFonts w:ascii="Times New Roman" w:hAnsi="Times New Roman" w:cs="Times New Roman"/>
          <w:sz w:val="24"/>
          <w:szCs w:val="24"/>
        </w:rPr>
        <w:t>ехнологическо</w:t>
      </w:r>
      <w:r>
        <w:rPr>
          <w:rFonts w:ascii="Times New Roman" w:hAnsi="Times New Roman" w:cs="Times New Roman"/>
          <w:sz w:val="24"/>
          <w:szCs w:val="24"/>
        </w:rPr>
        <w:t>му</w:t>
      </w:r>
      <w:r w:rsidRPr="00010B8C">
        <w:rPr>
          <w:rFonts w:ascii="Times New Roman" w:hAnsi="Times New Roman" w:cs="Times New Roman"/>
          <w:sz w:val="24"/>
          <w:szCs w:val="24"/>
        </w:rPr>
        <w:t xml:space="preserve"> присоединени</w:t>
      </w:r>
      <w:r>
        <w:rPr>
          <w:rFonts w:ascii="Times New Roman" w:hAnsi="Times New Roman" w:cs="Times New Roman"/>
          <w:sz w:val="24"/>
          <w:szCs w:val="24"/>
        </w:rPr>
        <w:t>ю</w:t>
      </w:r>
      <w:r w:rsidRPr="00010B8C">
        <w:rPr>
          <w:rFonts w:ascii="Times New Roman" w:hAnsi="Times New Roman" w:cs="Times New Roman"/>
          <w:sz w:val="24"/>
          <w:szCs w:val="24"/>
        </w:rPr>
        <w:t xml:space="preserve">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(в том числе опосредованное присоединение)</w:t>
      </w:r>
      <w:r>
        <w:rPr>
          <w:rFonts w:ascii="Times New Roman" w:hAnsi="Times New Roman" w:cs="Times New Roman"/>
          <w:sz w:val="24"/>
          <w:szCs w:val="24"/>
        </w:rPr>
        <w:t>»</w:t>
      </w:r>
    </w:p>
    <w:p w:rsidR="006859BA" w:rsidRPr="001A18C4" w:rsidRDefault="006859BA" w:rsidP="00FD5F5F">
      <w:pPr>
        <w:pStyle w:val="ConsPlusNonformat"/>
        <w:ind w:firstLine="709"/>
        <w:jc w:val="center"/>
        <w:rPr>
          <w:rFonts w:ascii="Times New Roman" w:hAnsi="Times New Roman" w:cs="Times New Roman"/>
          <w:sz w:val="24"/>
          <w:szCs w:val="24"/>
        </w:rPr>
      </w:pPr>
    </w:p>
    <w:p w:rsidR="006859BA" w:rsidRPr="001A18C4" w:rsidRDefault="006859BA" w:rsidP="00FD5F5F">
      <w:pPr>
        <w:pStyle w:val="ConsPlusNonformat"/>
        <w:ind w:firstLine="709"/>
        <w:jc w:val="both"/>
        <w:rPr>
          <w:rFonts w:ascii="Times New Roman" w:hAnsi="Times New Roman" w:cs="Times New Roman"/>
          <w:sz w:val="24"/>
          <w:szCs w:val="24"/>
        </w:rPr>
      </w:pPr>
      <w:r w:rsidRPr="00D03A45">
        <w:rPr>
          <w:rFonts w:ascii="Times New Roman" w:hAnsi="Times New Roman" w:cs="Times New Roman"/>
          <w:b/>
          <w:sz w:val="24"/>
          <w:szCs w:val="24"/>
        </w:rPr>
        <w:t>Круг заявителей:</w:t>
      </w:r>
      <w:r w:rsidRPr="00964F99">
        <w:rPr>
          <w:rFonts w:ascii="Times New Roman" w:hAnsi="Times New Roman" w:cs="Times New Roman"/>
          <w:sz w:val="24"/>
          <w:szCs w:val="24"/>
        </w:rPr>
        <w:t>заявители, имеющие на праве собственности или на ином законном основании энергопринимающие устройства (далее ЭПУ), в отношении которых до 1 января 2009 г. в установленном порядке было осуществлено фактическое технологическое присоединение (далее - ТП) к электрическим сетям, вправе по соглашению с иными владельцами ЭПУ снизить объем присоединенной мощности собственных ЭПУ с одновременным перераспределением объема снижения присоединенной мощности в пользу иных владельцев в пределах действия соответствующего центра питания.</w:t>
      </w:r>
    </w:p>
    <w:p w:rsidR="006859BA" w:rsidRDefault="006859BA" w:rsidP="00FD5F5F">
      <w:pPr>
        <w:pStyle w:val="ConsPlusNonformat"/>
        <w:ind w:firstLine="709"/>
        <w:rPr>
          <w:rFonts w:ascii="Times New Roman" w:hAnsi="Times New Roman" w:cs="Times New Roman"/>
          <w:sz w:val="24"/>
          <w:szCs w:val="24"/>
        </w:rPr>
      </w:pPr>
    </w:p>
    <w:p w:rsidR="006859BA" w:rsidRDefault="006859BA" w:rsidP="00FD5F5F">
      <w:pPr>
        <w:autoSpaceDE w:val="0"/>
        <w:autoSpaceDN w:val="0"/>
        <w:adjustRightInd w:val="0"/>
        <w:ind w:firstLine="709"/>
        <w:jc w:val="both"/>
        <w:rPr>
          <w:rFonts w:ascii="Times New Roman" w:hAnsi="Times New Roman"/>
        </w:rPr>
      </w:pPr>
      <w:r w:rsidRPr="00D03A45">
        <w:rPr>
          <w:rFonts w:ascii="Times New Roman" w:hAnsi="Times New Roman"/>
          <w:b/>
        </w:rPr>
        <w:t>Размер платы за предоставление услуги (процесса) и основание ее взимания</w:t>
      </w:r>
      <w:r w:rsidRPr="001A18C4">
        <w:rPr>
          <w:rFonts w:ascii="Times New Roman" w:hAnsi="Times New Roman"/>
        </w:rPr>
        <w:t>:</w:t>
      </w:r>
    </w:p>
    <w:p w:rsidR="006859BA" w:rsidRDefault="006859BA" w:rsidP="00FD5F5F">
      <w:pPr>
        <w:autoSpaceDE w:val="0"/>
        <w:autoSpaceDN w:val="0"/>
        <w:adjustRightInd w:val="0"/>
        <w:ind w:firstLine="709"/>
        <w:jc w:val="both"/>
        <w:rPr>
          <w:rFonts w:ascii="Times New Roman" w:hAnsi="Times New Roman"/>
          <w:color w:val="auto"/>
        </w:rPr>
      </w:pPr>
      <w:r>
        <w:rPr>
          <w:rFonts w:ascii="Times New Roman" w:hAnsi="Times New Roman"/>
          <w:color w:val="auto"/>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859BA" w:rsidRDefault="006859BA" w:rsidP="00FD5F5F">
      <w:pPr>
        <w:pStyle w:val="ConsPlusNonformat"/>
        <w:ind w:firstLine="709"/>
        <w:rPr>
          <w:rFonts w:ascii="Times New Roman" w:hAnsi="Times New Roman" w:cs="Times New Roman"/>
          <w:sz w:val="24"/>
          <w:szCs w:val="24"/>
        </w:rPr>
      </w:pPr>
    </w:p>
    <w:p w:rsidR="006859BA" w:rsidRDefault="006859BA" w:rsidP="00FD5F5F">
      <w:pPr>
        <w:pStyle w:val="ConsPlusNonformat"/>
        <w:ind w:firstLine="709"/>
        <w:rPr>
          <w:rFonts w:ascii="Times New Roman" w:hAnsi="Times New Roman" w:cs="Times New Roman"/>
          <w:sz w:val="24"/>
          <w:szCs w:val="24"/>
        </w:rPr>
      </w:pPr>
      <w:r w:rsidRPr="00D03A45">
        <w:rPr>
          <w:rFonts w:ascii="Times New Roman" w:hAnsi="Times New Roman" w:cs="Times New Roman"/>
          <w:b/>
          <w:sz w:val="24"/>
          <w:szCs w:val="24"/>
        </w:rPr>
        <w:t>Условия оказания услуги (процесса)</w:t>
      </w:r>
      <w:r w:rsidRPr="001A18C4">
        <w:rPr>
          <w:rFonts w:ascii="Times New Roman" w:hAnsi="Times New Roman" w:cs="Times New Roman"/>
          <w:sz w:val="24"/>
          <w:szCs w:val="24"/>
        </w:rPr>
        <w:t xml:space="preserve">: </w:t>
      </w:r>
    </w:p>
    <w:p w:rsidR="006859BA" w:rsidRPr="001A18C4" w:rsidRDefault="006859BA" w:rsidP="00FD5F5F">
      <w:pPr>
        <w:pStyle w:val="ConsPlusNonformat"/>
        <w:ind w:firstLine="709"/>
        <w:rPr>
          <w:rFonts w:ascii="Times New Roman" w:hAnsi="Times New Roman" w:cs="Times New Roman"/>
          <w:sz w:val="24"/>
          <w:szCs w:val="24"/>
        </w:rPr>
      </w:pPr>
      <w:r w:rsidRPr="005D140D">
        <w:rPr>
          <w:rFonts w:ascii="Times New Roman" w:hAnsi="Times New Roman" w:cs="Times New Roman"/>
          <w:sz w:val="24"/>
          <w:szCs w:val="24"/>
        </w:rPr>
        <w:t xml:space="preserve">Предоставление всех необходимых документов, наличие </w:t>
      </w:r>
      <w:r>
        <w:rPr>
          <w:rFonts w:ascii="Times New Roman" w:hAnsi="Times New Roman" w:cs="Times New Roman"/>
          <w:sz w:val="24"/>
          <w:szCs w:val="24"/>
        </w:rPr>
        <w:t>техниче</w:t>
      </w:r>
      <w:r w:rsidRPr="005D140D">
        <w:rPr>
          <w:rFonts w:ascii="Times New Roman" w:hAnsi="Times New Roman" w:cs="Times New Roman"/>
          <w:sz w:val="24"/>
          <w:szCs w:val="24"/>
        </w:rPr>
        <w:t>ской возможности оказания услуги (процесса)</w:t>
      </w:r>
      <w:r w:rsidRPr="001A18C4">
        <w:rPr>
          <w:rFonts w:ascii="Times New Roman" w:hAnsi="Times New Roman" w:cs="Times New Roman"/>
          <w:sz w:val="24"/>
          <w:szCs w:val="24"/>
        </w:rPr>
        <w:t>.</w:t>
      </w:r>
    </w:p>
    <w:p w:rsidR="006859BA" w:rsidRDefault="006859BA" w:rsidP="00FD5F5F">
      <w:pPr>
        <w:pStyle w:val="ConsPlusNonformat"/>
        <w:ind w:firstLine="709"/>
        <w:rPr>
          <w:rFonts w:ascii="Times New Roman" w:hAnsi="Times New Roman" w:cs="Times New Roman"/>
          <w:sz w:val="24"/>
          <w:szCs w:val="24"/>
        </w:rPr>
      </w:pPr>
    </w:p>
    <w:p w:rsidR="006859BA" w:rsidRDefault="006859BA" w:rsidP="00FD5F5F">
      <w:pPr>
        <w:pStyle w:val="ConsPlusNonformat"/>
        <w:ind w:firstLine="709"/>
        <w:jc w:val="both"/>
        <w:rPr>
          <w:rFonts w:ascii="Times New Roman" w:hAnsi="Times New Roman" w:cs="Times New Roman"/>
          <w:b/>
          <w:sz w:val="24"/>
          <w:szCs w:val="24"/>
        </w:rPr>
      </w:pPr>
      <w:r w:rsidRPr="00D03A45">
        <w:rPr>
          <w:rFonts w:ascii="Times New Roman" w:hAnsi="Times New Roman" w:cs="Times New Roman"/>
          <w:b/>
          <w:sz w:val="24"/>
          <w:szCs w:val="24"/>
        </w:rPr>
        <w:t xml:space="preserve">Результат оказания услуги (процесса): </w:t>
      </w:r>
    </w:p>
    <w:p w:rsidR="006859BA" w:rsidRDefault="006859BA" w:rsidP="00FD5F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Присоединение объектов заявителя в соответствии с условиями договора об осуществлении технологического присоединения к электрическим сетям. </w:t>
      </w:r>
    </w:p>
    <w:p w:rsidR="006859BA" w:rsidRDefault="006859BA" w:rsidP="00FD5F5F">
      <w:pPr>
        <w:pStyle w:val="ConsPlusNonformat"/>
        <w:ind w:firstLine="709"/>
        <w:rPr>
          <w:rFonts w:ascii="Times New Roman" w:hAnsi="Times New Roman" w:cs="Times New Roman"/>
          <w:sz w:val="24"/>
          <w:szCs w:val="24"/>
        </w:rPr>
      </w:pPr>
    </w:p>
    <w:p w:rsidR="006859BA" w:rsidRDefault="006859BA" w:rsidP="00FD5F5F">
      <w:pPr>
        <w:autoSpaceDE w:val="0"/>
        <w:autoSpaceDN w:val="0"/>
        <w:adjustRightInd w:val="0"/>
        <w:ind w:firstLine="709"/>
        <w:jc w:val="both"/>
        <w:rPr>
          <w:rFonts w:ascii="Times New Roman" w:hAnsi="Times New Roman"/>
          <w:b/>
        </w:rPr>
      </w:pPr>
      <w:r w:rsidRPr="00D03A45">
        <w:rPr>
          <w:rFonts w:ascii="Times New Roman" w:hAnsi="Times New Roman"/>
          <w:b/>
        </w:rPr>
        <w:t xml:space="preserve">Общий срок оказания услуги (процесса): </w:t>
      </w:r>
    </w:p>
    <w:p w:rsidR="006859BA" w:rsidRDefault="006859BA" w:rsidP="00FD5F5F">
      <w:pPr>
        <w:autoSpaceDE w:val="0"/>
        <w:autoSpaceDN w:val="0"/>
        <w:adjustRightInd w:val="0"/>
        <w:ind w:firstLine="709"/>
        <w:jc w:val="both"/>
        <w:rPr>
          <w:rFonts w:ascii="Times New Roman" w:hAnsi="Times New Roman"/>
          <w:color w:val="auto"/>
        </w:rPr>
      </w:pPr>
      <w:r w:rsidRPr="00DF5931">
        <w:rPr>
          <w:rFonts w:ascii="Times New Roman" w:hAnsi="Times New Roman"/>
        </w:rPr>
        <w:t>Напр</w:t>
      </w:r>
      <w:r>
        <w:rPr>
          <w:rFonts w:ascii="Times New Roman" w:hAnsi="Times New Roman"/>
        </w:rPr>
        <w:t xml:space="preserve">авление заявителю </w:t>
      </w:r>
      <w:r>
        <w:rPr>
          <w:rFonts w:ascii="Times New Roman" w:hAnsi="Times New Roman"/>
          <w:color w:val="auto"/>
        </w:rPr>
        <w:t>для подписания заполненный и подписанный проект договора и технических условий как неотъемлемое приложение к договору в течение 30 дней со дня получения заявки.</w:t>
      </w:r>
    </w:p>
    <w:p w:rsidR="006859BA" w:rsidRDefault="006859BA" w:rsidP="00E154B2">
      <w:pPr>
        <w:pStyle w:val="ConsPlusNonformat"/>
        <w:ind w:firstLine="709"/>
        <w:rPr>
          <w:rFonts w:ascii="Times New Roman" w:hAnsi="Times New Roman" w:cs="Times New Roman"/>
          <w:sz w:val="24"/>
          <w:szCs w:val="24"/>
        </w:rPr>
      </w:pPr>
      <w:r>
        <w:rPr>
          <w:rFonts w:ascii="Times New Roman" w:hAnsi="Times New Roman" w:cs="Times New Roman"/>
          <w:sz w:val="24"/>
          <w:szCs w:val="24"/>
        </w:rPr>
        <w:t>Срок осуществления мероприятий по технологическому присоединению исчисляется со дня заключения договора и не может превышать:</w:t>
      </w:r>
    </w:p>
    <w:p w:rsidR="006859BA" w:rsidRDefault="006859BA" w:rsidP="00E154B2">
      <w:pPr>
        <w:autoSpaceDE w:val="0"/>
        <w:autoSpaceDN w:val="0"/>
        <w:adjustRightInd w:val="0"/>
        <w:ind w:firstLine="709"/>
        <w:jc w:val="both"/>
        <w:rPr>
          <w:rFonts w:ascii="Times New Roman" w:hAnsi="Times New Roman"/>
          <w:color w:val="auto"/>
        </w:rPr>
      </w:pPr>
      <w:r>
        <w:rPr>
          <w:rFonts w:ascii="Times New Roman" w:hAnsi="Times New Roman"/>
          <w:color w:val="auto"/>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859BA" w:rsidRDefault="006859BA" w:rsidP="00E154B2">
      <w:pPr>
        <w:autoSpaceDE w:val="0"/>
        <w:autoSpaceDN w:val="0"/>
        <w:adjustRightInd w:val="0"/>
        <w:ind w:firstLine="709"/>
        <w:jc w:val="both"/>
        <w:rPr>
          <w:rFonts w:ascii="Times New Roman" w:hAnsi="Times New Roman"/>
          <w:color w:val="auto"/>
        </w:rPr>
      </w:pPr>
      <w:r>
        <w:rPr>
          <w:rFonts w:ascii="Times New Roman" w:hAnsi="Times New Roman"/>
          <w:color w:val="auto"/>
        </w:rPr>
        <w:t>120 дней - для заявителей, максимальная мощность энергопринимающих устройств которых составляет до 670 кВт;</w:t>
      </w:r>
    </w:p>
    <w:p w:rsidR="006859BA" w:rsidRDefault="006859BA" w:rsidP="00E154B2">
      <w:pPr>
        <w:autoSpaceDE w:val="0"/>
        <w:autoSpaceDN w:val="0"/>
        <w:adjustRightInd w:val="0"/>
        <w:ind w:firstLine="709"/>
        <w:jc w:val="both"/>
        <w:rPr>
          <w:rFonts w:ascii="Times New Roman" w:hAnsi="Times New Roman"/>
          <w:color w:val="auto"/>
        </w:rPr>
      </w:pPr>
      <w:r>
        <w:rPr>
          <w:rFonts w:ascii="Times New Roman" w:hAnsi="Times New Roman"/>
          <w:color w:val="auto"/>
        </w:rPr>
        <w:t>1 год - для заявителей, максимальная мощность энергопринимающих устройств которых составляет свыше 670 кВт.</w:t>
      </w:r>
    </w:p>
    <w:p w:rsidR="006859BA" w:rsidRDefault="006859BA" w:rsidP="00E154B2">
      <w:pPr>
        <w:autoSpaceDE w:val="0"/>
        <w:autoSpaceDN w:val="0"/>
        <w:adjustRightInd w:val="0"/>
        <w:ind w:firstLine="709"/>
        <w:jc w:val="both"/>
        <w:rPr>
          <w:rFonts w:ascii="Times New Roman" w:hAnsi="Times New Roman"/>
          <w:color w:val="auto"/>
        </w:rPr>
      </w:pPr>
      <w:r>
        <w:rPr>
          <w:rFonts w:ascii="Times New Roman" w:hAnsi="Times New Roman"/>
          <w:color w:val="auto"/>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6859BA" w:rsidRPr="001A18C4" w:rsidRDefault="006859BA" w:rsidP="00C223CE">
      <w:pPr>
        <w:pStyle w:val="ConsPlusNonformat"/>
        <w:ind w:firstLine="709"/>
        <w:rPr>
          <w:rFonts w:ascii="Times New Roman" w:hAnsi="Times New Roman" w:cs="Times New Roman"/>
          <w:sz w:val="24"/>
          <w:szCs w:val="24"/>
        </w:rPr>
      </w:pPr>
    </w:p>
    <w:p w:rsidR="006859BA" w:rsidRPr="00D03A45" w:rsidRDefault="006859BA" w:rsidP="00C223CE">
      <w:pPr>
        <w:pStyle w:val="ConsPlusNonformat"/>
        <w:ind w:firstLine="709"/>
        <w:rPr>
          <w:rFonts w:ascii="Times New Roman" w:hAnsi="Times New Roman" w:cs="Times New Roman"/>
          <w:b/>
          <w:sz w:val="24"/>
          <w:szCs w:val="24"/>
        </w:rPr>
      </w:pPr>
      <w:r w:rsidRPr="00D03A45">
        <w:rPr>
          <w:rFonts w:ascii="Times New Roman" w:hAnsi="Times New Roman" w:cs="Times New Roman"/>
          <w:b/>
          <w:sz w:val="24"/>
          <w:szCs w:val="24"/>
        </w:rPr>
        <w:t>Состав, последовательность и сроки оказания услуги (процесса):</w:t>
      </w:r>
    </w:p>
    <w:p w:rsidR="006859BA" w:rsidRPr="001A18C4" w:rsidRDefault="006859BA" w:rsidP="00F8159B">
      <w:pPr>
        <w:autoSpaceDE w:val="0"/>
        <w:autoSpaceDN w:val="0"/>
        <w:jc w:val="center"/>
        <w:rPr>
          <w:rFonts w:ascii="Times New Roman" w:hAnsi="Times New Roman"/>
          <w:color w:val="auto"/>
        </w:rPr>
      </w:pPr>
    </w:p>
    <w:tbl>
      <w:tblPr>
        <w:tblW w:w="14694" w:type="dxa"/>
        <w:tblInd w:w="75" w:type="dxa"/>
        <w:tblLayout w:type="fixed"/>
        <w:tblCellMar>
          <w:left w:w="0" w:type="dxa"/>
          <w:right w:w="0" w:type="dxa"/>
        </w:tblCellMar>
        <w:tblLook w:val="00A0"/>
      </w:tblPr>
      <w:tblGrid>
        <w:gridCol w:w="567"/>
        <w:gridCol w:w="649"/>
        <w:gridCol w:w="4547"/>
        <w:gridCol w:w="4497"/>
        <w:gridCol w:w="1800"/>
        <w:gridCol w:w="2634"/>
      </w:tblGrid>
      <w:tr w:rsidR="006859BA" w:rsidRPr="002E269C" w:rsidTr="00B86A80">
        <w:trPr>
          <w:tblHeader/>
        </w:trPr>
        <w:tc>
          <w:tcPr>
            <w:tcW w:w="567" w:type="dxa"/>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vAlign w:val="center"/>
          </w:tcPr>
          <w:p w:rsidR="006859BA" w:rsidRPr="002E269C" w:rsidRDefault="006859BA" w:rsidP="0052297A">
            <w:pPr>
              <w:autoSpaceDE w:val="0"/>
              <w:autoSpaceDN w:val="0"/>
              <w:rPr>
                <w:rFonts w:ascii="Times New Roman" w:hAnsi="Times New Roman"/>
                <w:color w:val="auto"/>
              </w:rPr>
            </w:pPr>
            <w:r w:rsidRPr="002E269C">
              <w:rPr>
                <w:rFonts w:ascii="Times New Roman" w:hAnsi="Times New Roman"/>
                <w:color w:val="auto"/>
              </w:rPr>
              <w:t>N п/п</w:t>
            </w:r>
          </w:p>
        </w:tc>
        <w:tc>
          <w:tcPr>
            <w:tcW w:w="649" w:type="dxa"/>
            <w:tcBorders>
              <w:top w:val="single" w:sz="8" w:space="0" w:color="auto"/>
              <w:left w:val="nil"/>
              <w:bottom w:val="single" w:sz="4" w:space="0" w:color="auto"/>
              <w:right w:val="single" w:sz="8" w:space="0" w:color="auto"/>
            </w:tcBorders>
            <w:tcMar>
              <w:top w:w="0" w:type="dxa"/>
              <w:left w:w="75" w:type="dxa"/>
              <w:bottom w:w="0" w:type="dxa"/>
              <w:right w:w="75" w:type="dxa"/>
            </w:tcMar>
            <w:vAlign w:val="center"/>
          </w:tcPr>
          <w:p w:rsidR="006859BA" w:rsidRPr="002E269C" w:rsidRDefault="006859BA" w:rsidP="00DC76A2">
            <w:pPr>
              <w:autoSpaceDE w:val="0"/>
              <w:autoSpaceDN w:val="0"/>
              <w:jc w:val="center"/>
              <w:rPr>
                <w:rFonts w:ascii="Times New Roman" w:hAnsi="Times New Roman"/>
                <w:color w:val="auto"/>
              </w:rPr>
            </w:pPr>
            <w:r w:rsidRPr="002E269C">
              <w:rPr>
                <w:rFonts w:ascii="Times New Roman" w:hAnsi="Times New Roman"/>
                <w:color w:val="auto"/>
              </w:rPr>
              <w:t>Этап</w:t>
            </w:r>
          </w:p>
        </w:tc>
        <w:tc>
          <w:tcPr>
            <w:tcW w:w="4547" w:type="dxa"/>
            <w:tcBorders>
              <w:top w:val="single" w:sz="8" w:space="0" w:color="auto"/>
              <w:left w:val="nil"/>
              <w:bottom w:val="single" w:sz="4" w:space="0" w:color="auto"/>
              <w:right w:val="single" w:sz="8" w:space="0" w:color="auto"/>
            </w:tcBorders>
            <w:tcMar>
              <w:top w:w="0" w:type="dxa"/>
              <w:left w:w="75" w:type="dxa"/>
              <w:bottom w:w="0" w:type="dxa"/>
              <w:right w:w="75" w:type="dxa"/>
            </w:tcMar>
            <w:vAlign w:val="center"/>
          </w:tcPr>
          <w:p w:rsidR="006859BA" w:rsidRPr="002E269C" w:rsidRDefault="006859BA" w:rsidP="00DC76A2">
            <w:pPr>
              <w:autoSpaceDE w:val="0"/>
              <w:autoSpaceDN w:val="0"/>
              <w:jc w:val="center"/>
              <w:rPr>
                <w:rFonts w:ascii="Times New Roman" w:hAnsi="Times New Roman"/>
                <w:color w:val="auto"/>
              </w:rPr>
            </w:pPr>
            <w:r w:rsidRPr="002E269C">
              <w:rPr>
                <w:rFonts w:ascii="Times New Roman" w:hAnsi="Times New Roman"/>
                <w:color w:val="auto"/>
              </w:rPr>
              <w:t>Содержание/условия этапа</w:t>
            </w:r>
          </w:p>
        </w:tc>
        <w:tc>
          <w:tcPr>
            <w:tcW w:w="4497" w:type="dxa"/>
            <w:tcBorders>
              <w:top w:val="single" w:sz="8" w:space="0" w:color="auto"/>
              <w:left w:val="nil"/>
              <w:bottom w:val="single" w:sz="4" w:space="0" w:color="auto"/>
              <w:right w:val="single" w:sz="8" w:space="0" w:color="auto"/>
            </w:tcBorders>
            <w:tcMar>
              <w:top w:w="0" w:type="dxa"/>
              <w:left w:w="75" w:type="dxa"/>
              <w:bottom w:w="0" w:type="dxa"/>
              <w:right w:w="75" w:type="dxa"/>
            </w:tcMar>
            <w:vAlign w:val="center"/>
          </w:tcPr>
          <w:p w:rsidR="006859BA" w:rsidRPr="002E269C" w:rsidRDefault="006859BA" w:rsidP="00DC76A2">
            <w:pPr>
              <w:autoSpaceDE w:val="0"/>
              <w:autoSpaceDN w:val="0"/>
              <w:jc w:val="center"/>
              <w:rPr>
                <w:rFonts w:ascii="Times New Roman" w:hAnsi="Times New Roman"/>
                <w:color w:val="auto"/>
              </w:rPr>
            </w:pPr>
            <w:r w:rsidRPr="002E269C">
              <w:rPr>
                <w:rFonts w:ascii="Times New Roman" w:hAnsi="Times New Roman"/>
                <w:color w:val="auto"/>
              </w:rPr>
              <w:t>Форма предоставления</w:t>
            </w:r>
          </w:p>
        </w:tc>
        <w:tc>
          <w:tcPr>
            <w:tcW w:w="1800" w:type="dxa"/>
            <w:tcBorders>
              <w:top w:val="single" w:sz="8" w:space="0" w:color="auto"/>
              <w:left w:val="nil"/>
              <w:bottom w:val="single" w:sz="4" w:space="0" w:color="auto"/>
              <w:right w:val="single" w:sz="8" w:space="0" w:color="auto"/>
            </w:tcBorders>
            <w:tcMar>
              <w:top w:w="0" w:type="dxa"/>
              <w:left w:w="75" w:type="dxa"/>
              <w:bottom w:w="0" w:type="dxa"/>
              <w:right w:w="75" w:type="dxa"/>
            </w:tcMar>
            <w:vAlign w:val="center"/>
          </w:tcPr>
          <w:p w:rsidR="006859BA" w:rsidRPr="002E269C" w:rsidRDefault="006859BA" w:rsidP="00DC76A2">
            <w:pPr>
              <w:autoSpaceDE w:val="0"/>
              <w:autoSpaceDN w:val="0"/>
              <w:jc w:val="center"/>
              <w:rPr>
                <w:rFonts w:ascii="Times New Roman" w:hAnsi="Times New Roman"/>
                <w:color w:val="auto"/>
              </w:rPr>
            </w:pPr>
            <w:r w:rsidRPr="002E269C">
              <w:rPr>
                <w:rFonts w:ascii="Times New Roman" w:hAnsi="Times New Roman"/>
                <w:color w:val="auto"/>
              </w:rPr>
              <w:t>Срок исполнения</w:t>
            </w:r>
          </w:p>
        </w:tc>
        <w:tc>
          <w:tcPr>
            <w:tcW w:w="2634" w:type="dxa"/>
            <w:tcBorders>
              <w:top w:val="single" w:sz="8" w:space="0" w:color="auto"/>
              <w:left w:val="nil"/>
              <w:bottom w:val="single" w:sz="4" w:space="0" w:color="auto"/>
              <w:right w:val="single" w:sz="8" w:space="0" w:color="auto"/>
            </w:tcBorders>
            <w:tcMar>
              <w:top w:w="0" w:type="dxa"/>
              <w:left w:w="75" w:type="dxa"/>
              <w:bottom w:w="0" w:type="dxa"/>
              <w:right w:w="75" w:type="dxa"/>
            </w:tcMar>
            <w:vAlign w:val="center"/>
          </w:tcPr>
          <w:p w:rsidR="006859BA" w:rsidRPr="002E269C" w:rsidRDefault="006859BA" w:rsidP="00DC76A2">
            <w:pPr>
              <w:autoSpaceDE w:val="0"/>
              <w:autoSpaceDN w:val="0"/>
              <w:jc w:val="center"/>
              <w:rPr>
                <w:rFonts w:ascii="Times New Roman" w:hAnsi="Times New Roman"/>
                <w:color w:val="auto"/>
              </w:rPr>
            </w:pPr>
            <w:r w:rsidRPr="002E269C">
              <w:rPr>
                <w:rFonts w:ascii="Times New Roman" w:hAnsi="Times New Roman"/>
                <w:color w:val="auto"/>
              </w:rPr>
              <w:t>Ссылка на нормативный правовой акт</w:t>
            </w: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b/>
                <w:i/>
                <w:color w:val="auto"/>
                <w:lang w:eastAsia="ru-RU"/>
              </w:rPr>
            </w:pPr>
            <w:r w:rsidRPr="002E269C">
              <w:rPr>
                <w:rFonts w:ascii="Times New Roman" w:hAnsi="Times New Roman"/>
                <w:b/>
                <w:i/>
                <w:color w:val="auto"/>
                <w:lang w:eastAsia="ru-RU"/>
              </w:rPr>
              <w:t>Если Вы хотите перераспределить максимальную мощность своего ЭПУ, Вам необходимо:</w:t>
            </w:r>
          </w:p>
        </w:tc>
        <w:tc>
          <w:tcPr>
            <w:tcW w:w="4497"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lang w:eastAsia="ru-RU"/>
              </w:rPr>
            </w:pPr>
          </w:p>
        </w:tc>
        <w:tc>
          <w:tcPr>
            <w:tcW w:w="2634"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107789">
            <w:pPr>
              <w:autoSpaceDE w:val="0"/>
              <w:autoSpaceDN w:val="0"/>
              <w:jc w:val="center"/>
              <w:rPr>
                <w:rFonts w:ascii="Times New Roman" w:hAnsi="Times New Roman"/>
                <w:color w:val="auto"/>
                <w:sz w:val="20"/>
                <w:szCs w:val="20"/>
                <w:lang w:eastAsia="ru-RU"/>
              </w:rPr>
            </w:pPr>
            <w:r w:rsidRPr="002E269C">
              <w:rPr>
                <w:rFonts w:ascii="Times New Roman" w:hAnsi="Times New Roman"/>
                <w:color w:val="auto"/>
                <w:sz w:val="20"/>
                <w:szCs w:val="20"/>
                <w:lang w:eastAsia="ru-RU"/>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и иным лицам, к электрическим сетям, утвержденные Постановлением Правительства Российской Федерации от 27.12.2004 г. № 861 </w:t>
            </w: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3"/>
              </w:num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964F99">
            <w:pPr>
              <w:autoSpaceDE w:val="0"/>
              <w:autoSpaceDN w:val="0"/>
              <w:rPr>
                <w:rFonts w:ascii="Times New Roman" w:hAnsi="Times New Roman"/>
                <w:color w:val="auto"/>
                <w:lang w:eastAsia="ru-RU"/>
              </w:rPr>
            </w:pPr>
            <w:r w:rsidRPr="002E269C">
              <w:rPr>
                <w:rFonts w:ascii="Times New Roman" w:hAnsi="Times New Roman"/>
                <w:color w:val="auto"/>
                <w:lang w:eastAsia="ru-RU"/>
              </w:rPr>
              <w:t>Предоставить в сетевую организацию:</w:t>
            </w:r>
          </w:p>
          <w:p w:rsidR="006859BA" w:rsidRPr="002E269C" w:rsidRDefault="006859BA" w:rsidP="00B942FD">
            <w:pPr>
              <w:pStyle w:val="ListParagraph"/>
              <w:numPr>
                <w:ilvl w:val="0"/>
                <w:numId w:val="9"/>
              </w:numPr>
              <w:tabs>
                <w:tab w:val="left" w:pos="269"/>
              </w:tabs>
              <w:autoSpaceDE w:val="0"/>
              <w:autoSpaceDN w:val="0"/>
              <w:adjustRightInd w:val="0"/>
              <w:ind w:left="-15" w:firstLine="15"/>
              <w:rPr>
                <w:rFonts w:ascii="Times New Roman" w:hAnsi="Times New Roman"/>
                <w:color w:val="auto"/>
                <w:lang w:eastAsia="ru-RU"/>
              </w:rPr>
            </w:pPr>
            <w:r w:rsidRPr="002E269C">
              <w:rPr>
                <w:rFonts w:ascii="Times New Roman" w:hAnsi="Times New Roman"/>
                <w:color w:val="auto"/>
                <w:lang w:eastAsia="ru-RU"/>
              </w:rPr>
              <w:t>копию технических условий, выданных лицу, максимальная мощность энергопринимающих устройств которого перераспределяется;</w:t>
            </w:r>
          </w:p>
          <w:p w:rsidR="006859BA" w:rsidRPr="002E269C" w:rsidRDefault="006859BA" w:rsidP="00B942FD">
            <w:pPr>
              <w:pStyle w:val="ListParagraph"/>
              <w:numPr>
                <w:ilvl w:val="0"/>
                <w:numId w:val="9"/>
              </w:numPr>
              <w:tabs>
                <w:tab w:val="left" w:pos="269"/>
              </w:tabs>
              <w:autoSpaceDE w:val="0"/>
              <w:autoSpaceDN w:val="0"/>
              <w:adjustRightInd w:val="0"/>
              <w:ind w:left="-15" w:firstLine="15"/>
              <w:rPr>
                <w:rFonts w:ascii="Times New Roman" w:hAnsi="Times New Roman"/>
                <w:color w:val="auto"/>
                <w:lang w:eastAsia="ru-RU"/>
              </w:rPr>
            </w:pPr>
            <w:r w:rsidRPr="002E269C">
              <w:rPr>
                <w:rFonts w:ascii="Times New Roman" w:hAnsi="Times New Roman"/>
                <w:color w:val="auto"/>
                <w:lang w:eastAsia="ru-RU"/>
              </w:rPr>
              <w:t>копию акта об осуществлении технологического присоединения;</w:t>
            </w:r>
          </w:p>
        </w:tc>
        <w:tc>
          <w:tcPr>
            <w:tcW w:w="4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B942FD">
            <w:pPr>
              <w:autoSpaceDE w:val="0"/>
              <w:autoSpaceDN w:val="0"/>
              <w:rPr>
                <w:rFonts w:ascii="Times New Roman" w:hAnsi="Times New Roman"/>
                <w:color w:val="auto"/>
              </w:rPr>
            </w:pPr>
            <w:r w:rsidRPr="002E269C">
              <w:rPr>
                <w:rFonts w:ascii="Times New Roman" w:hAnsi="Times New Roman"/>
                <w:color w:val="auto"/>
              </w:rPr>
              <w:t>Копии документов.</w:t>
            </w:r>
          </w:p>
          <w:p w:rsidR="006859BA" w:rsidRPr="002E269C" w:rsidRDefault="006859BA" w:rsidP="00B942FD">
            <w:pPr>
              <w:autoSpaceDE w:val="0"/>
              <w:autoSpaceDN w:val="0"/>
              <w:rPr>
                <w:rFonts w:ascii="Times New Roman" w:hAnsi="Times New Roman"/>
                <w:color w:val="auto"/>
              </w:rPr>
            </w:pPr>
          </w:p>
        </w:tc>
        <w:tc>
          <w:tcPr>
            <w:tcW w:w="18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2634" w:type="dxa"/>
            <w:vMerge/>
            <w:tcBorders>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sz w:val="20"/>
                <w:szCs w:val="20"/>
              </w:rPr>
            </w:pP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3"/>
              </w:num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964F99">
            <w:pPr>
              <w:autoSpaceDE w:val="0"/>
              <w:autoSpaceDN w:val="0"/>
              <w:rPr>
                <w:rFonts w:ascii="Times New Roman" w:hAnsi="Times New Roman"/>
                <w:color w:val="auto"/>
                <w:lang w:eastAsia="ru-RU"/>
              </w:rPr>
            </w:pPr>
            <w:r w:rsidRPr="002E269C">
              <w:rPr>
                <w:rFonts w:ascii="Times New Roman" w:hAnsi="Times New Roman"/>
                <w:color w:val="auto"/>
                <w:lang w:eastAsia="ru-RU"/>
              </w:rPr>
              <w:t>Направить в сетевую организацию заявление, указав следующие сведения:</w:t>
            </w:r>
            <w:r w:rsidRPr="002E269C">
              <w:rPr>
                <w:rFonts w:ascii="Times New Roman" w:hAnsi="Times New Roman"/>
                <w:color w:val="auto"/>
                <w:lang w:eastAsia="ru-RU"/>
              </w:rPr>
              <w:br/>
              <w:t>- наименование лица, намеревающегося перераспределить мощность;</w:t>
            </w:r>
            <w:r w:rsidRPr="002E269C">
              <w:rPr>
                <w:rFonts w:ascii="Times New Roman" w:hAnsi="Times New Roman"/>
                <w:color w:val="auto"/>
                <w:lang w:eastAsia="ru-RU"/>
              </w:rPr>
              <w:br/>
              <w:t>- контактные данные;</w:t>
            </w:r>
            <w:r w:rsidRPr="002E269C">
              <w:rPr>
                <w:rFonts w:ascii="Times New Roman" w:hAnsi="Times New Roman"/>
                <w:color w:val="auto"/>
                <w:lang w:eastAsia="ru-RU"/>
              </w:rPr>
              <w:br/>
              <w:t>- место нахождения энергопринимающих устройств;</w:t>
            </w:r>
            <w:r w:rsidRPr="002E269C">
              <w:rPr>
                <w:rFonts w:ascii="Times New Roman" w:hAnsi="Times New Roman"/>
                <w:color w:val="auto"/>
                <w:lang w:eastAsia="ru-RU"/>
              </w:rPr>
              <w:br/>
              <w:t>- объем планируемой к перераспределению максимальной мощности;</w:t>
            </w:r>
            <w:r w:rsidRPr="002E269C">
              <w:rPr>
                <w:rFonts w:ascii="Times New Roman" w:hAnsi="Times New Roman"/>
                <w:color w:val="auto"/>
                <w:lang w:eastAsia="ru-RU"/>
              </w:rPr>
              <w:br/>
              <w:t>- наименование центра питания (при наличии информации).</w:t>
            </w:r>
          </w:p>
        </w:tc>
        <w:tc>
          <w:tcPr>
            <w:tcW w:w="4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 w:rsidRPr="002E269C">
              <w:rPr>
                <w:rFonts w:ascii="Times New Roman" w:hAnsi="Times New Roman"/>
                <w:color w:val="auto"/>
                <w:lang w:eastAsia="ru-RU"/>
              </w:rPr>
              <w:t>Заявление</w:t>
            </w:r>
          </w:p>
        </w:tc>
        <w:tc>
          <w:tcPr>
            <w:tcW w:w="18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2634" w:type="dxa"/>
            <w:vMerge/>
            <w:tcBorders>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sz w:val="20"/>
                <w:szCs w:val="20"/>
              </w:rPr>
            </w:pP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3"/>
              </w:num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964F99">
            <w:pPr>
              <w:autoSpaceDE w:val="0"/>
              <w:autoSpaceDN w:val="0"/>
              <w:rPr>
                <w:rFonts w:ascii="Times New Roman" w:hAnsi="Times New Roman"/>
                <w:color w:val="auto"/>
                <w:lang w:eastAsia="ru-RU"/>
              </w:rPr>
            </w:pPr>
            <w:r w:rsidRPr="002E269C">
              <w:rPr>
                <w:rFonts w:ascii="Times New Roman" w:hAnsi="Times New Roman"/>
                <w:color w:val="auto"/>
                <w:lang w:eastAsia="ru-RU"/>
              </w:rPr>
              <w:t>Подписать и направить в сетевую компанию согласие на предоставление сведений, указанных в заявлении, иным лицам, в том числе путем публикации таких сведений на официальном сайте сетевой организации</w:t>
            </w:r>
          </w:p>
        </w:tc>
        <w:tc>
          <w:tcPr>
            <w:tcW w:w="4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 w:rsidRPr="002E269C">
              <w:rPr>
                <w:rFonts w:ascii="Times New Roman" w:hAnsi="Times New Roman"/>
                <w:color w:val="auto"/>
                <w:lang w:eastAsia="ru-RU"/>
              </w:rPr>
              <w:t>Согласие на предоставление сведений</w:t>
            </w:r>
          </w:p>
        </w:tc>
        <w:tc>
          <w:tcPr>
            <w:tcW w:w="18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2634" w:type="dxa"/>
            <w:vMerge/>
            <w:tcBorders>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sz w:val="20"/>
                <w:szCs w:val="20"/>
              </w:rPr>
            </w:pP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3"/>
              </w:num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964F99">
            <w:pPr>
              <w:autoSpaceDE w:val="0"/>
              <w:autoSpaceDN w:val="0"/>
              <w:rPr>
                <w:rFonts w:ascii="Times New Roman" w:hAnsi="Times New Roman"/>
                <w:color w:val="auto"/>
                <w:lang w:eastAsia="ru-RU"/>
              </w:rPr>
            </w:pPr>
            <w:r w:rsidRPr="002E269C">
              <w:rPr>
                <w:rFonts w:ascii="Times New Roman" w:hAnsi="Times New Roman"/>
                <w:color w:val="auto"/>
                <w:lang w:eastAsia="ru-RU"/>
              </w:rPr>
              <w:t xml:space="preserve">После обработки заявления, информация о лице, подавшем заявление о перераспределении, публикуется в сводной таблице на сайте </w:t>
            </w:r>
            <w:r>
              <w:rPr>
                <w:rFonts w:ascii="Times New Roman" w:hAnsi="Times New Roman"/>
                <w:color w:val="auto"/>
                <w:lang w:eastAsia="ru-RU"/>
              </w:rPr>
              <w:t>ФГУП «УЭВ»</w:t>
            </w:r>
            <w:r w:rsidRPr="002E269C">
              <w:rPr>
                <w:rFonts w:ascii="Times New Roman" w:hAnsi="Times New Roman"/>
                <w:color w:val="auto"/>
                <w:lang w:eastAsia="ru-RU"/>
              </w:rPr>
              <w:t xml:space="preserve">.  </w:t>
            </w:r>
          </w:p>
          <w:p w:rsidR="006859BA" w:rsidRPr="002E269C" w:rsidRDefault="006859BA" w:rsidP="00107789">
            <w:pPr>
              <w:autoSpaceDE w:val="0"/>
              <w:autoSpaceDN w:val="0"/>
              <w:jc w:val="both"/>
              <w:rPr>
                <w:rFonts w:ascii="Times New Roman" w:hAnsi="Times New Roman"/>
                <w:color w:val="auto"/>
                <w:lang w:eastAsia="ru-RU"/>
              </w:rPr>
            </w:pPr>
            <w:r w:rsidRPr="002E269C">
              <w:rPr>
                <w:rFonts w:ascii="Times New Roman" w:hAnsi="Times New Roman"/>
                <w:color w:val="auto"/>
                <w:lang w:eastAsia="ru-RU"/>
              </w:rPr>
              <w:t>Лица, заинтересованные в перераспределении мощности, по указанным контактным данным могут связаться с Вами.</w:t>
            </w:r>
          </w:p>
        </w:tc>
        <w:tc>
          <w:tcPr>
            <w:tcW w:w="4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Default="006859BA" w:rsidP="00FD5F5F">
            <w:pPr>
              <w:autoSpaceDE w:val="0"/>
              <w:autoSpaceDN w:val="0"/>
              <w:rPr>
                <w:rFonts w:ascii="Times New Roman" w:hAnsi="Times New Roman"/>
                <w:color w:val="auto"/>
                <w:lang w:eastAsia="ru-RU"/>
              </w:rPr>
            </w:pPr>
            <w:r w:rsidRPr="002E269C">
              <w:rPr>
                <w:rFonts w:ascii="Times New Roman" w:hAnsi="Times New Roman"/>
                <w:color w:val="auto"/>
                <w:lang w:eastAsia="ru-RU"/>
              </w:rPr>
              <w:t xml:space="preserve">Сводная таблица на сайте </w:t>
            </w:r>
            <w:r>
              <w:rPr>
                <w:rFonts w:ascii="Times New Roman" w:hAnsi="Times New Roman"/>
                <w:color w:val="auto"/>
                <w:lang w:eastAsia="ru-RU"/>
              </w:rPr>
              <w:t>ФГУП «УЭВ»</w:t>
            </w:r>
          </w:p>
          <w:p w:rsidR="006859BA" w:rsidRPr="009C1ED2" w:rsidRDefault="006859BA" w:rsidP="00FD5F5F">
            <w:pPr>
              <w:autoSpaceDE w:val="0"/>
              <w:autoSpaceDN w:val="0"/>
              <w:rPr>
                <w:rFonts w:ascii="Times New Roman" w:hAnsi="Times New Roman"/>
                <w:color w:val="auto"/>
              </w:rPr>
            </w:pPr>
            <w:r w:rsidRPr="009C1ED2">
              <w:rPr>
                <w:rFonts w:ascii="Times New Roman" w:hAnsi="Times New Roman"/>
                <w:color w:val="auto"/>
              </w:rPr>
              <w:t>http://www.uev.ru/cms.php?type=page&amp;id=15</w:t>
            </w:r>
          </w:p>
        </w:tc>
        <w:tc>
          <w:tcPr>
            <w:tcW w:w="18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263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107789">
            <w:pPr>
              <w:autoSpaceDE w:val="0"/>
              <w:autoSpaceDN w:val="0"/>
              <w:jc w:val="center"/>
              <w:rPr>
                <w:rFonts w:ascii="Times New Roman" w:hAnsi="Times New Roman"/>
                <w:color w:val="auto"/>
                <w:sz w:val="20"/>
                <w:szCs w:val="20"/>
              </w:rPr>
            </w:pPr>
            <w:r w:rsidRPr="002E269C">
              <w:rPr>
                <w:rFonts w:ascii="Times New Roman" w:hAnsi="Times New Roman"/>
                <w:color w:val="auto"/>
                <w:sz w:val="20"/>
                <w:szCs w:val="20"/>
                <w:lang w:eastAsia="ru-RU"/>
              </w:rPr>
              <w:t>Стандарты раскрытия информации субъектами оптового и розничных рынков электрической энергии, утвержденныеПостановлением Правительства РФ от 21 января 2004 г. № 24.</w:t>
            </w: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2C16F5">
            <w:pPr>
              <w:autoSpaceDE w:val="0"/>
              <w:autoSpaceDN w:val="0"/>
              <w:rPr>
                <w:rFonts w:ascii="Times New Roman" w:hAnsi="Times New Roman"/>
                <w:color w:val="auto"/>
                <w:lang w:eastAsia="ru-RU"/>
              </w:rPr>
            </w:pPr>
            <w:r w:rsidRPr="002E269C">
              <w:rPr>
                <w:rFonts w:ascii="Times New Roman" w:hAnsi="Times New Roman"/>
                <w:b/>
                <w:color w:val="auto"/>
                <w:lang w:eastAsia="ru-RU"/>
              </w:rPr>
              <w:t>Если Вы хотите получить перераспределенную мощность</w:t>
            </w:r>
            <w:r w:rsidRPr="002E269C">
              <w:rPr>
                <w:rFonts w:ascii="Times New Roman" w:hAnsi="Times New Roman"/>
                <w:color w:val="auto"/>
                <w:lang w:eastAsia="ru-RU"/>
              </w:rPr>
              <w:t>:</w:t>
            </w:r>
          </w:p>
        </w:tc>
        <w:tc>
          <w:tcPr>
            <w:tcW w:w="4497"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1800"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263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sz w:val="20"/>
                <w:szCs w:val="20"/>
                <w:lang w:eastAsia="ru-RU"/>
              </w:rPr>
            </w:pPr>
            <w:r w:rsidRPr="002E269C">
              <w:rPr>
                <w:rFonts w:ascii="Times New Roman" w:hAnsi="Times New Roman"/>
                <w:color w:val="auto"/>
                <w:sz w:val="20"/>
                <w:szCs w:val="20"/>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и иным лицам, к электрическим сетям, утвержденные Постановлением Правительства Российской Федерации от 27.12.2004 г. № 861</w:t>
            </w: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5"/>
              </w:num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374893" w:rsidRDefault="006859BA" w:rsidP="00964F99">
            <w:pPr>
              <w:autoSpaceDE w:val="0"/>
              <w:autoSpaceDN w:val="0"/>
              <w:rPr>
                <w:rFonts w:ascii="Times New Roman" w:hAnsi="Times New Roman"/>
                <w:color w:val="000000"/>
                <w:lang w:eastAsia="ru-RU"/>
              </w:rPr>
            </w:pPr>
            <w:r w:rsidRPr="00374893">
              <w:rPr>
                <w:rFonts w:ascii="Times New Roman" w:hAnsi="Times New Roman"/>
                <w:color w:val="000000"/>
                <w:lang w:eastAsia="ru-RU"/>
              </w:rPr>
              <w:t xml:space="preserve">Выберите раздел «Перераспределение мощности». Здесь можно ознакомиться с актуальными предложениями и оценить, хватит ли Вам предлагаемого для перераспределения объема мощности. </w:t>
            </w:r>
            <w:r w:rsidRPr="00374893">
              <w:rPr>
                <w:rFonts w:ascii="Times New Roman" w:hAnsi="Times New Roman"/>
                <w:color w:val="000000"/>
                <w:lang w:eastAsia="ru-RU"/>
              </w:rPr>
              <w:br/>
              <w:t xml:space="preserve">Данные по всем объектам, которые имеют мощность, свободную для перераспределения, публикуется в разделе </w:t>
            </w:r>
            <w:hyperlink r:id="rId5" w:history="1">
              <w:r w:rsidRPr="00374893">
                <w:rPr>
                  <w:rFonts w:ascii="Times New Roman" w:hAnsi="Times New Roman"/>
                  <w:color w:val="000000"/>
                  <w:lang w:eastAsia="ru-RU"/>
                </w:rPr>
                <w:t>«Перераспределение мощности»</w:t>
              </w:r>
            </w:hyperlink>
            <w:r w:rsidRPr="00374893">
              <w:rPr>
                <w:rFonts w:ascii="Times New Roman" w:hAnsi="Times New Roman"/>
                <w:color w:val="000000"/>
                <w:lang w:eastAsia="ru-RU"/>
              </w:rPr>
              <w:t>.</w:t>
            </w:r>
          </w:p>
        </w:tc>
        <w:tc>
          <w:tcPr>
            <w:tcW w:w="4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Default="006859BA" w:rsidP="00374893">
            <w:pPr>
              <w:autoSpaceDE w:val="0"/>
              <w:autoSpaceDN w:val="0"/>
              <w:rPr>
                <w:rFonts w:ascii="Times New Roman" w:hAnsi="Times New Roman"/>
                <w:color w:val="auto"/>
                <w:lang w:eastAsia="ru-RU"/>
              </w:rPr>
            </w:pPr>
            <w:r w:rsidRPr="002E269C">
              <w:rPr>
                <w:rFonts w:ascii="Times New Roman" w:hAnsi="Times New Roman"/>
                <w:color w:val="auto"/>
                <w:lang w:eastAsia="ru-RU"/>
              </w:rPr>
              <w:t xml:space="preserve">Сводная таблица на сайте </w:t>
            </w:r>
            <w:r>
              <w:rPr>
                <w:rFonts w:ascii="Times New Roman" w:hAnsi="Times New Roman"/>
                <w:color w:val="auto"/>
                <w:lang w:eastAsia="ru-RU"/>
              </w:rPr>
              <w:t>ФГУП «УЭВ»</w:t>
            </w:r>
          </w:p>
          <w:p w:rsidR="006859BA" w:rsidRPr="009448F9" w:rsidRDefault="006859BA" w:rsidP="00374893">
            <w:pPr>
              <w:autoSpaceDE w:val="0"/>
              <w:autoSpaceDN w:val="0"/>
              <w:jc w:val="center"/>
              <w:rPr>
                <w:rFonts w:ascii="Times New Roman" w:hAnsi="Times New Roman"/>
                <w:color w:val="FF0000"/>
              </w:rPr>
            </w:pPr>
            <w:r w:rsidRPr="009C1ED2">
              <w:rPr>
                <w:rFonts w:ascii="Times New Roman" w:hAnsi="Times New Roman"/>
                <w:color w:val="auto"/>
              </w:rPr>
              <w:t>http://www.uev.ru/cms.php?type=page&amp;id=15</w:t>
            </w:r>
          </w:p>
        </w:tc>
        <w:tc>
          <w:tcPr>
            <w:tcW w:w="18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263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sz w:val="20"/>
                <w:szCs w:val="20"/>
                <w:lang w:eastAsia="ru-RU"/>
              </w:rPr>
            </w:pPr>
            <w:r w:rsidRPr="002E269C">
              <w:rPr>
                <w:rFonts w:ascii="Times New Roman" w:hAnsi="Times New Roman"/>
                <w:color w:val="auto"/>
                <w:sz w:val="20"/>
                <w:szCs w:val="20"/>
                <w:lang w:eastAsia="ru-RU"/>
              </w:rPr>
              <w:t>Стандарты раскрытия информации субъектами оптового и розничных рынков электрической энергии, утвержденные Постановлением Правительства РФ от 21 января 2004 г. № 24.</w:t>
            </w: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5"/>
              </w:num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964F99">
            <w:pPr>
              <w:autoSpaceDE w:val="0"/>
              <w:autoSpaceDN w:val="0"/>
              <w:rPr>
                <w:rFonts w:ascii="Times New Roman" w:hAnsi="Times New Roman"/>
                <w:color w:val="auto"/>
                <w:lang w:eastAsia="ru-RU"/>
              </w:rPr>
            </w:pPr>
            <w:r w:rsidRPr="002E269C">
              <w:rPr>
                <w:rFonts w:ascii="Times New Roman" w:hAnsi="Times New Roman"/>
                <w:color w:val="auto"/>
                <w:lang w:eastAsia="ru-RU"/>
              </w:rPr>
              <w:t>В случае Вашей заинтересованности Вы можете связаться с лицом, указанным на Портале ТП, заключить с ним соглашение о перераспределении мощности</w:t>
            </w:r>
          </w:p>
        </w:tc>
        <w:tc>
          <w:tcPr>
            <w:tcW w:w="4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18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263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sz w:val="20"/>
                <w:szCs w:val="20"/>
                <w:lang w:eastAsia="ru-RU"/>
              </w:rPr>
            </w:pPr>
            <w:r w:rsidRPr="002E269C">
              <w:rPr>
                <w:rFonts w:ascii="Times New Roman" w:hAnsi="Times New Roman"/>
                <w:color w:val="auto"/>
                <w:sz w:val="20"/>
                <w:szCs w:val="20"/>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и иным лицам, к электрическим сетям, утвержденные Постановлением Правительства Российской Федерации от 27.12.2004 г. № 861</w:t>
            </w: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b/>
                <w:color w:val="auto"/>
                <w:lang w:eastAsia="ru-RU"/>
              </w:rPr>
            </w:pPr>
            <w:r w:rsidRPr="002E269C">
              <w:rPr>
                <w:rFonts w:ascii="Times New Roman" w:hAnsi="Times New Roman"/>
                <w:b/>
                <w:color w:val="auto"/>
                <w:lang w:eastAsia="ru-RU"/>
              </w:rPr>
              <w:t>После заключения соглашения о перераспределении максимальной мощности:</w:t>
            </w:r>
          </w:p>
        </w:tc>
        <w:tc>
          <w:tcPr>
            <w:tcW w:w="4497"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1800" w:type="dxa"/>
            <w:tcBorders>
              <w:top w:val="single" w:sz="4" w:space="0" w:color="auto"/>
              <w:left w:val="single" w:sz="4" w:space="0" w:color="auto"/>
              <w:bottom w:val="single" w:sz="4" w:space="0" w:color="auto"/>
              <w:right w:val="single" w:sz="4" w:space="0" w:color="auto"/>
            </w:tcBorders>
            <w:shd w:val="clear" w:color="auto" w:fill="D9D9D9"/>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2634" w:type="dxa"/>
            <w:vMerge w:val="restart"/>
            <w:tcBorders>
              <w:top w:val="single" w:sz="4" w:space="0" w:color="auto"/>
              <w:left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sz w:val="20"/>
                <w:szCs w:val="20"/>
                <w:lang w:eastAsia="ru-RU"/>
              </w:rPr>
            </w:pPr>
            <w:r w:rsidRPr="002E269C">
              <w:rPr>
                <w:rFonts w:ascii="Times New Roman" w:hAnsi="Times New Roman"/>
                <w:color w:val="auto"/>
                <w:sz w:val="20"/>
                <w:szCs w:val="20"/>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и иным лицам, к электрическим сетям, утвержденные Постановлением Правительства Российской Федерации от 27.12.2004 г. № 861</w:t>
            </w: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5"/>
              </w:num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964F99">
            <w:pPr>
              <w:autoSpaceDE w:val="0"/>
              <w:autoSpaceDN w:val="0"/>
              <w:rPr>
                <w:rFonts w:ascii="Times New Roman" w:hAnsi="Times New Roman"/>
                <w:color w:val="auto"/>
                <w:lang w:eastAsia="ru-RU"/>
              </w:rPr>
            </w:pPr>
            <w:r w:rsidRPr="002E269C">
              <w:rPr>
                <w:rFonts w:ascii="Times New Roman" w:hAnsi="Times New Roman"/>
                <w:color w:val="auto"/>
                <w:lang w:eastAsia="ru-RU"/>
              </w:rPr>
              <w:t xml:space="preserve">Необходимо направить уведомление, подписанное сторонами о перераспределении мощности, в адрес сетевой организации, к объектам которой ранее были в установленном порядке присоединены ЭПУ лица, намеревающиеся перераспределить мощность. </w:t>
            </w:r>
            <w:r w:rsidRPr="002E269C">
              <w:rPr>
                <w:rFonts w:ascii="Times New Roman" w:hAnsi="Times New Roman"/>
                <w:color w:val="auto"/>
                <w:lang w:eastAsia="ru-RU"/>
              </w:rPr>
              <w:br/>
              <w:t xml:space="preserve">К уведомлению прилагается: </w:t>
            </w:r>
            <w:r w:rsidRPr="002E269C">
              <w:rPr>
                <w:rFonts w:ascii="Times New Roman" w:hAnsi="Times New Roman"/>
                <w:color w:val="auto"/>
                <w:lang w:eastAsia="ru-RU"/>
              </w:rPr>
              <w:br/>
              <w:t>- копии технических условий, выданных лицу, максимальная мощность ЭПУ которого перераспределяется;</w:t>
            </w:r>
            <w:r w:rsidRPr="002E269C">
              <w:rPr>
                <w:rFonts w:ascii="Times New Roman" w:hAnsi="Times New Roman"/>
                <w:color w:val="auto"/>
                <w:lang w:eastAsia="ru-RU"/>
              </w:rPr>
              <w:br/>
              <w:t>- копии акта об осуществлении технологического присоединения;</w:t>
            </w:r>
            <w:r w:rsidRPr="002E269C">
              <w:rPr>
                <w:rFonts w:ascii="Times New Roman" w:hAnsi="Times New Roman"/>
                <w:color w:val="auto"/>
                <w:lang w:eastAsia="ru-RU"/>
              </w:rPr>
              <w:br/>
              <w:t>- заявка на технологическое присоединение ЭПУ лица, в пользу которого предполагается перераспределить избыток максимальной мощности;</w:t>
            </w:r>
            <w:r w:rsidRPr="002E269C">
              <w:rPr>
                <w:rFonts w:ascii="Times New Roman" w:hAnsi="Times New Roman"/>
                <w:color w:val="auto"/>
                <w:lang w:eastAsia="ru-RU"/>
              </w:rPr>
              <w:br/>
              <w:t>- заверенная копия заключенного соглашения о перераспределении мощности.</w:t>
            </w:r>
          </w:p>
        </w:tc>
        <w:tc>
          <w:tcPr>
            <w:tcW w:w="4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B942FD">
            <w:pPr>
              <w:autoSpaceDE w:val="0"/>
              <w:autoSpaceDN w:val="0"/>
              <w:jc w:val="center"/>
              <w:rPr>
                <w:rFonts w:ascii="Times New Roman" w:hAnsi="Times New Roman"/>
                <w:color w:val="auto"/>
              </w:rPr>
            </w:pPr>
            <w:r w:rsidRPr="002E269C">
              <w:rPr>
                <w:rFonts w:ascii="Times New Roman" w:hAnsi="Times New Roman"/>
                <w:color w:val="auto"/>
                <w:lang w:eastAsia="ru-RU"/>
              </w:rPr>
              <w:t>Уведомление о перераспределении мощности с приложением необходимых документов.</w:t>
            </w:r>
          </w:p>
        </w:tc>
        <w:tc>
          <w:tcPr>
            <w:tcW w:w="18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0D4656">
            <w:pPr>
              <w:autoSpaceDE w:val="0"/>
              <w:autoSpaceDN w:val="0"/>
              <w:jc w:val="center"/>
              <w:rPr>
                <w:rFonts w:ascii="Times New Roman" w:hAnsi="Times New Roman"/>
                <w:color w:val="auto"/>
              </w:rPr>
            </w:pPr>
          </w:p>
        </w:tc>
        <w:tc>
          <w:tcPr>
            <w:tcW w:w="2634" w:type="dxa"/>
            <w:vMerge/>
            <w:tcBorders>
              <w:left w:val="single" w:sz="4" w:space="0" w:color="auto"/>
              <w:right w:val="single" w:sz="4" w:space="0" w:color="auto"/>
            </w:tcBorders>
            <w:tcMar>
              <w:top w:w="0" w:type="dxa"/>
              <w:left w:w="75" w:type="dxa"/>
              <w:bottom w:w="0" w:type="dxa"/>
              <w:right w:w="75" w:type="dxa"/>
            </w:tcMar>
          </w:tcPr>
          <w:p w:rsidR="006859BA" w:rsidRPr="002E269C" w:rsidRDefault="006859BA" w:rsidP="00107789">
            <w:pPr>
              <w:autoSpaceDE w:val="0"/>
              <w:autoSpaceDN w:val="0"/>
              <w:jc w:val="center"/>
              <w:rPr>
                <w:rFonts w:ascii="Times New Roman" w:hAnsi="Times New Roman"/>
                <w:color w:val="auto"/>
                <w:sz w:val="20"/>
                <w:szCs w:val="20"/>
              </w:rPr>
            </w:pP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5"/>
              </w:num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B942FD">
            <w:pPr>
              <w:autoSpaceDE w:val="0"/>
              <w:autoSpaceDN w:val="0"/>
              <w:rPr>
                <w:rFonts w:ascii="Times New Roman" w:hAnsi="Times New Roman"/>
                <w:color w:val="auto"/>
                <w:lang w:eastAsia="ru-RU"/>
              </w:rPr>
            </w:pPr>
            <w:r w:rsidRPr="002E269C">
              <w:rPr>
                <w:rFonts w:ascii="Times New Roman" w:hAnsi="Times New Roman"/>
                <w:color w:val="auto"/>
                <w:lang w:eastAsia="ru-RU"/>
              </w:rPr>
              <w:t>Лицо, в пользу которого предполагается перераспределить максимальную мощность, должно заключить с сетевой организаций договор об осуществлении технологического присоединения к электрическим сетям посредством перераспределения максимальной мощности</w:t>
            </w:r>
          </w:p>
        </w:tc>
        <w:tc>
          <w:tcPr>
            <w:tcW w:w="4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D5F5F">
            <w:pPr>
              <w:autoSpaceDE w:val="0"/>
              <w:autoSpaceDN w:val="0"/>
              <w:rPr>
                <w:rFonts w:ascii="Times New Roman" w:hAnsi="Times New Roman"/>
                <w:color w:val="auto"/>
                <w:lang w:eastAsia="ru-RU"/>
              </w:rPr>
            </w:pPr>
            <w:r w:rsidRPr="002E269C">
              <w:rPr>
                <w:rFonts w:ascii="Times New Roman" w:hAnsi="Times New Roman"/>
                <w:color w:val="auto"/>
                <w:lang w:eastAsia="ru-RU"/>
              </w:rPr>
              <w:t>Оригинальные экземпляры документов в формате, установленном Правилами технологического присоединения</w:t>
            </w:r>
          </w:p>
          <w:p w:rsidR="006859BA" w:rsidRPr="002E269C" w:rsidRDefault="006859BA" w:rsidP="00F8159B">
            <w:pPr>
              <w:autoSpaceDE w:val="0"/>
              <w:autoSpaceDN w:val="0"/>
              <w:jc w:val="center"/>
              <w:rPr>
                <w:rFonts w:ascii="Times New Roman" w:hAnsi="Times New Roman"/>
                <w:color w:val="auto"/>
              </w:rPr>
            </w:pPr>
          </w:p>
        </w:tc>
        <w:tc>
          <w:tcPr>
            <w:tcW w:w="18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r w:rsidRPr="002E269C">
              <w:rPr>
                <w:rFonts w:ascii="Times New Roman" w:hAnsi="Times New Roman"/>
                <w:color w:val="auto"/>
              </w:rPr>
              <w:t>Направление проекта договора заявителю в течение 30 дней со дня получения заявки</w:t>
            </w:r>
          </w:p>
        </w:tc>
        <w:tc>
          <w:tcPr>
            <w:tcW w:w="2634" w:type="dxa"/>
            <w:vMerge/>
            <w:tcBorders>
              <w:left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sz w:val="20"/>
                <w:szCs w:val="20"/>
              </w:rPr>
            </w:pP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5"/>
              </w:num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964F99">
            <w:pPr>
              <w:autoSpaceDE w:val="0"/>
              <w:autoSpaceDN w:val="0"/>
              <w:rPr>
                <w:rFonts w:ascii="Times New Roman" w:hAnsi="Times New Roman"/>
                <w:color w:val="auto"/>
                <w:lang w:eastAsia="ru-RU"/>
              </w:rPr>
            </w:pPr>
            <w:r w:rsidRPr="002E269C">
              <w:rPr>
                <w:rFonts w:ascii="Times New Roman" w:hAnsi="Times New Roman"/>
                <w:color w:val="auto"/>
                <w:lang w:eastAsia="ru-RU"/>
              </w:rPr>
              <w:t>Сетевая организация направит информацию об изменениях, внесенных в ранее выданные технические условия, лицам, максимальная мощность ЭПУ которых перераспределяется</w:t>
            </w:r>
          </w:p>
        </w:tc>
        <w:tc>
          <w:tcPr>
            <w:tcW w:w="4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E154B2">
            <w:pPr>
              <w:autoSpaceDE w:val="0"/>
              <w:autoSpaceDN w:val="0"/>
              <w:rPr>
                <w:rFonts w:ascii="Times New Roman" w:hAnsi="Times New Roman"/>
                <w:color w:val="auto"/>
                <w:lang w:eastAsia="ru-RU"/>
              </w:rPr>
            </w:pPr>
            <w:r w:rsidRPr="002E269C">
              <w:rPr>
                <w:rFonts w:ascii="Times New Roman" w:hAnsi="Times New Roman"/>
                <w:color w:val="auto"/>
                <w:lang w:eastAsia="ru-RU"/>
              </w:rPr>
              <w:t>Оригинальные экземпляры документов в формате, установленном Правилами технологического присоединения</w:t>
            </w:r>
          </w:p>
          <w:p w:rsidR="006859BA" w:rsidRPr="002E269C" w:rsidRDefault="006859BA" w:rsidP="00F8159B">
            <w:pPr>
              <w:autoSpaceDE w:val="0"/>
              <w:autoSpaceDN w:val="0"/>
              <w:jc w:val="center"/>
              <w:rPr>
                <w:rFonts w:ascii="Times New Roman" w:hAnsi="Times New Roman"/>
                <w:color w:val="auto"/>
              </w:rPr>
            </w:pPr>
          </w:p>
        </w:tc>
        <w:tc>
          <w:tcPr>
            <w:tcW w:w="18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496CF5">
            <w:pPr>
              <w:autoSpaceDE w:val="0"/>
              <w:autoSpaceDN w:val="0"/>
              <w:adjustRightInd w:val="0"/>
              <w:ind w:hanging="6"/>
              <w:jc w:val="both"/>
              <w:rPr>
                <w:rFonts w:ascii="Times New Roman" w:hAnsi="Times New Roman"/>
                <w:color w:val="auto"/>
              </w:rPr>
            </w:pPr>
            <w:r w:rsidRPr="002E269C">
              <w:rPr>
                <w:rFonts w:ascii="Times New Roman" w:hAnsi="Times New Roman"/>
                <w:color w:val="auto"/>
              </w:rPr>
              <w:t>Не позднее 10 рабочих дней со дня выдачи технических условий лицу, в пользу которого перераспределяется максимальная мощность</w:t>
            </w:r>
          </w:p>
        </w:tc>
        <w:tc>
          <w:tcPr>
            <w:tcW w:w="2634" w:type="dxa"/>
            <w:vMerge/>
            <w:tcBorders>
              <w:left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sz w:val="20"/>
                <w:szCs w:val="20"/>
              </w:rPr>
            </w:pP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5"/>
              </w:num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964F99">
            <w:pPr>
              <w:autoSpaceDE w:val="0"/>
              <w:autoSpaceDN w:val="0"/>
              <w:rPr>
                <w:rFonts w:ascii="Times New Roman" w:hAnsi="Times New Roman"/>
                <w:color w:val="auto"/>
                <w:lang w:eastAsia="ru-RU"/>
              </w:rPr>
            </w:pPr>
            <w:r w:rsidRPr="002E269C">
              <w:rPr>
                <w:rFonts w:ascii="Times New Roman" w:hAnsi="Times New Roman"/>
                <w:color w:val="auto"/>
                <w:lang w:eastAsia="ru-RU"/>
              </w:rPr>
              <w:t>Стороны соглашения выполняют мероприятия:</w:t>
            </w:r>
            <w:r w:rsidRPr="002E269C">
              <w:rPr>
                <w:rFonts w:ascii="Times New Roman" w:hAnsi="Times New Roman"/>
                <w:color w:val="auto"/>
                <w:lang w:eastAsia="ru-RU"/>
              </w:rPr>
              <w:br/>
              <w:t>- лица, в пользу которых перераспределяется максимальная мощность, выполняют мероприятия по договору ТП;</w:t>
            </w:r>
            <w:r w:rsidRPr="002E269C">
              <w:rPr>
                <w:rFonts w:ascii="Times New Roman" w:hAnsi="Times New Roman"/>
                <w:color w:val="auto"/>
                <w:lang w:eastAsia="ru-RU"/>
              </w:rPr>
              <w:br/>
              <w:t>- лица, максимальная мощность ЭПУ которых перераспределяется, обязаны осуществить необходимые действия по уменьшению максимальной мощности до завершения срока осуществления мероприятий по договору ТП лиц, в пользу которых перераспределяется максимальная мощность</w:t>
            </w:r>
          </w:p>
        </w:tc>
        <w:tc>
          <w:tcPr>
            <w:tcW w:w="4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p>
        </w:tc>
        <w:tc>
          <w:tcPr>
            <w:tcW w:w="18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r w:rsidRPr="002E269C">
              <w:rPr>
                <w:rFonts w:ascii="Times New Roman" w:hAnsi="Times New Roman"/>
                <w:color w:val="auto"/>
              </w:rPr>
              <w:t>В соответствии с условиями договора</w:t>
            </w:r>
          </w:p>
        </w:tc>
        <w:tc>
          <w:tcPr>
            <w:tcW w:w="2634" w:type="dxa"/>
            <w:vMerge/>
            <w:tcBorders>
              <w:left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sz w:val="20"/>
                <w:szCs w:val="20"/>
              </w:rPr>
            </w:pPr>
          </w:p>
        </w:tc>
      </w:tr>
      <w:tr w:rsidR="006859BA" w:rsidRPr="002E269C" w:rsidTr="00B86A80">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7"/>
              </w:numPr>
              <w:autoSpaceDE w:val="0"/>
              <w:autoSpaceDN w:val="0"/>
              <w:ind w:left="0" w:firstLine="0"/>
              <w:rPr>
                <w:rFonts w:ascii="Times New Roman" w:hAnsi="Times New Roman"/>
                <w:color w:val="auto"/>
              </w:rPr>
            </w:pPr>
          </w:p>
        </w:tc>
        <w:tc>
          <w:tcPr>
            <w:tcW w:w="64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52297A">
            <w:pPr>
              <w:pStyle w:val="ListParagraph"/>
              <w:numPr>
                <w:ilvl w:val="0"/>
                <w:numId w:val="5"/>
              </w:numPr>
              <w:autoSpaceDE w:val="0"/>
              <w:autoSpaceDN w:val="0"/>
              <w:jc w:val="center"/>
              <w:rPr>
                <w:rFonts w:ascii="Times New Roman" w:hAnsi="Times New Roman"/>
                <w:color w:val="auto"/>
              </w:rPr>
            </w:pPr>
          </w:p>
        </w:tc>
        <w:tc>
          <w:tcPr>
            <w:tcW w:w="454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964F99">
            <w:pPr>
              <w:autoSpaceDE w:val="0"/>
              <w:autoSpaceDN w:val="0"/>
              <w:rPr>
                <w:rFonts w:ascii="Arial" w:hAnsi="Arial" w:cs="Arial"/>
                <w:color w:val="444444"/>
                <w:sz w:val="18"/>
                <w:szCs w:val="18"/>
              </w:rPr>
            </w:pPr>
            <w:r w:rsidRPr="002E269C">
              <w:rPr>
                <w:rFonts w:ascii="Times New Roman" w:hAnsi="Times New Roman"/>
                <w:color w:val="auto"/>
                <w:lang w:eastAsia="ru-RU"/>
              </w:rPr>
              <w:t>Подписать акты (Акт об осуществлении ТП, акт разграничения балансовой принадлежности, акт эксплуатационной ответственности сторон).</w:t>
            </w:r>
          </w:p>
        </w:tc>
        <w:tc>
          <w:tcPr>
            <w:tcW w:w="4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D5F5F">
            <w:pPr>
              <w:autoSpaceDE w:val="0"/>
              <w:autoSpaceDN w:val="0"/>
              <w:rPr>
                <w:rFonts w:ascii="Times New Roman" w:hAnsi="Times New Roman"/>
                <w:color w:val="auto"/>
              </w:rPr>
            </w:pPr>
            <w:r w:rsidRPr="002E269C">
              <w:rPr>
                <w:rFonts w:ascii="Times New Roman" w:hAnsi="Times New Roman"/>
                <w:color w:val="auto"/>
                <w:lang w:eastAsia="ru-RU"/>
              </w:rPr>
              <w:t>Оригинальные экземпляры документов, подписанные со стороны заявителя и сетевой оргвнизации</w:t>
            </w:r>
          </w:p>
        </w:tc>
        <w:tc>
          <w:tcPr>
            <w:tcW w:w="18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rPr>
            </w:pPr>
            <w:r w:rsidRPr="002E269C">
              <w:rPr>
                <w:rFonts w:ascii="Times New Roman" w:hAnsi="Times New Roman"/>
                <w:color w:val="auto"/>
              </w:rPr>
              <w:t>Не позднее 5 рабочих дней со дня осуществления фактического присоединения энергопринимающих устройств заявителя к электрическим сетям</w:t>
            </w:r>
          </w:p>
        </w:tc>
        <w:tc>
          <w:tcPr>
            <w:tcW w:w="2634" w:type="dxa"/>
            <w:vMerge/>
            <w:tcBorders>
              <w:left w:val="single" w:sz="4" w:space="0" w:color="auto"/>
              <w:bottom w:val="single" w:sz="4" w:space="0" w:color="auto"/>
              <w:right w:val="single" w:sz="4" w:space="0" w:color="auto"/>
            </w:tcBorders>
            <w:tcMar>
              <w:top w:w="0" w:type="dxa"/>
              <w:left w:w="75" w:type="dxa"/>
              <w:bottom w:w="0" w:type="dxa"/>
              <w:right w:w="75" w:type="dxa"/>
            </w:tcMar>
          </w:tcPr>
          <w:p w:rsidR="006859BA" w:rsidRPr="002E269C" w:rsidRDefault="006859BA" w:rsidP="00F8159B">
            <w:pPr>
              <w:autoSpaceDE w:val="0"/>
              <w:autoSpaceDN w:val="0"/>
              <w:jc w:val="center"/>
              <w:rPr>
                <w:rFonts w:ascii="Times New Roman" w:hAnsi="Times New Roman"/>
                <w:color w:val="auto"/>
                <w:sz w:val="20"/>
                <w:szCs w:val="20"/>
              </w:rPr>
            </w:pPr>
          </w:p>
        </w:tc>
      </w:tr>
    </w:tbl>
    <w:p w:rsidR="006859BA" w:rsidRPr="001A18C4" w:rsidRDefault="006859BA" w:rsidP="00F8159B">
      <w:pPr>
        <w:autoSpaceDE w:val="0"/>
        <w:autoSpaceDN w:val="0"/>
        <w:jc w:val="center"/>
        <w:rPr>
          <w:rFonts w:ascii="Times New Roman" w:hAnsi="Times New Roman"/>
          <w:color w:val="auto"/>
        </w:rPr>
      </w:pPr>
    </w:p>
    <w:p w:rsidR="006859BA" w:rsidRPr="001A18C4" w:rsidRDefault="006859BA" w:rsidP="00370EC5">
      <w:pPr>
        <w:pStyle w:val="ConsPlusNonformat"/>
        <w:rPr>
          <w:rFonts w:ascii="Times New Roman" w:hAnsi="Times New Roman" w:cs="Times New Roman"/>
          <w:sz w:val="24"/>
          <w:szCs w:val="24"/>
        </w:rPr>
      </w:pPr>
      <w:r w:rsidRPr="001A18C4">
        <w:rPr>
          <w:rFonts w:ascii="Times New Roman" w:hAnsi="Times New Roman" w:cs="Times New Roman"/>
          <w:sz w:val="24"/>
          <w:szCs w:val="24"/>
        </w:rPr>
        <w:t>Контактн</w:t>
      </w:r>
      <w:r>
        <w:rPr>
          <w:rFonts w:ascii="Times New Roman" w:hAnsi="Times New Roman" w:cs="Times New Roman"/>
          <w:sz w:val="24"/>
          <w:szCs w:val="24"/>
        </w:rPr>
        <w:t>ый телефон 326-99-03</w:t>
      </w:r>
      <w:r w:rsidRPr="001A18C4">
        <w:rPr>
          <w:rFonts w:ascii="Times New Roman" w:hAnsi="Times New Roman" w:cs="Times New Roman"/>
          <w:sz w:val="24"/>
          <w:szCs w:val="24"/>
        </w:rPr>
        <w:t>.</w:t>
      </w:r>
    </w:p>
    <w:p w:rsidR="006859BA" w:rsidRPr="001A18C4" w:rsidRDefault="006859BA" w:rsidP="00F8159B">
      <w:pPr>
        <w:pStyle w:val="ConsPlusNonformat"/>
        <w:jc w:val="center"/>
        <w:rPr>
          <w:rFonts w:ascii="Times New Roman" w:hAnsi="Times New Roman" w:cs="Times New Roman"/>
          <w:sz w:val="24"/>
          <w:szCs w:val="24"/>
        </w:rPr>
      </w:pPr>
    </w:p>
    <w:p w:rsidR="006859BA" w:rsidRPr="001A18C4" w:rsidRDefault="006859BA" w:rsidP="00F8159B">
      <w:pPr>
        <w:pStyle w:val="ConsPlusNonformat"/>
        <w:jc w:val="center"/>
        <w:rPr>
          <w:rFonts w:ascii="Times New Roman" w:hAnsi="Times New Roman" w:cs="Times New Roman"/>
          <w:sz w:val="24"/>
          <w:szCs w:val="24"/>
        </w:rPr>
      </w:pPr>
    </w:p>
    <w:p w:rsidR="006859BA" w:rsidRPr="001A18C4" w:rsidRDefault="006859BA" w:rsidP="00F8159B">
      <w:pPr>
        <w:pStyle w:val="ConsPlusNonformat"/>
        <w:jc w:val="center"/>
        <w:rPr>
          <w:rFonts w:ascii="Times New Roman" w:hAnsi="Times New Roman" w:cs="Times New Roman"/>
          <w:sz w:val="24"/>
          <w:szCs w:val="24"/>
        </w:rPr>
      </w:pPr>
    </w:p>
    <w:p w:rsidR="006859BA" w:rsidRPr="001A18C4" w:rsidRDefault="006859BA" w:rsidP="00F8159B">
      <w:pPr>
        <w:pStyle w:val="ConsPlusNonformat"/>
        <w:jc w:val="center"/>
        <w:rPr>
          <w:rFonts w:ascii="Times New Roman" w:hAnsi="Times New Roman" w:cs="Times New Roman"/>
          <w:sz w:val="24"/>
          <w:szCs w:val="24"/>
        </w:rPr>
      </w:pPr>
    </w:p>
    <w:p w:rsidR="006859BA" w:rsidRPr="001A18C4" w:rsidRDefault="006859BA" w:rsidP="00F8159B">
      <w:pPr>
        <w:pStyle w:val="ConsPlusNonformat"/>
        <w:jc w:val="center"/>
        <w:rPr>
          <w:rFonts w:ascii="Times New Roman" w:hAnsi="Times New Roman" w:cs="Times New Roman"/>
          <w:sz w:val="24"/>
          <w:szCs w:val="24"/>
        </w:rPr>
      </w:pPr>
    </w:p>
    <w:sectPr w:rsidR="006859BA" w:rsidRPr="001A18C4" w:rsidSect="00964F99">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40C5"/>
    <w:multiLevelType w:val="hybridMultilevel"/>
    <w:tmpl w:val="14F2D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3E02CA"/>
    <w:multiLevelType w:val="hybridMultilevel"/>
    <w:tmpl w:val="6680A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7C754D"/>
    <w:multiLevelType w:val="hybridMultilevel"/>
    <w:tmpl w:val="A54E434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EE758A0"/>
    <w:multiLevelType w:val="hybridMultilevel"/>
    <w:tmpl w:val="3D3451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F1196F"/>
    <w:multiLevelType w:val="hybridMultilevel"/>
    <w:tmpl w:val="DDE05C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CA736AF"/>
    <w:multiLevelType w:val="hybridMultilevel"/>
    <w:tmpl w:val="6680A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A29021A"/>
    <w:multiLevelType w:val="hybridMultilevel"/>
    <w:tmpl w:val="AB0C966E"/>
    <w:lvl w:ilvl="0" w:tplc="C520F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B257DD"/>
    <w:multiLevelType w:val="hybridMultilevel"/>
    <w:tmpl w:val="5AD8AC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9070CA"/>
    <w:multiLevelType w:val="hybridMultilevel"/>
    <w:tmpl w:val="A6382DDC"/>
    <w:lvl w:ilvl="0" w:tplc="BC220994">
      <w:start w:val="1"/>
      <w:numFmt w:val="bullet"/>
      <w:lvlText w:val="×"/>
      <w:lvlJc w:val="left"/>
      <w:pPr>
        <w:ind w:left="705" w:hanging="360"/>
      </w:pPr>
      <w:rPr>
        <w:rFonts w:ascii="Symbol" w:hAnsi="Symbol" w:hint="default"/>
        <w:color w:val="auto"/>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4"/>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59B"/>
    <w:rsid w:val="00010B8C"/>
    <w:rsid w:val="000D2B26"/>
    <w:rsid w:val="000D4656"/>
    <w:rsid w:val="00107789"/>
    <w:rsid w:val="00147134"/>
    <w:rsid w:val="001A18C4"/>
    <w:rsid w:val="001C5DFD"/>
    <w:rsid w:val="001D70E6"/>
    <w:rsid w:val="002037D1"/>
    <w:rsid w:val="00265DC0"/>
    <w:rsid w:val="002802C7"/>
    <w:rsid w:val="002C16F5"/>
    <w:rsid w:val="002E269C"/>
    <w:rsid w:val="00370EC5"/>
    <w:rsid w:val="00374893"/>
    <w:rsid w:val="003B22C0"/>
    <w:rsid w:val="00487854"/>
    <w:rsid w:val="004921C7"/>
    <w:rsid w:val="00496CF5"/>
    <w:rsid w:val="0052297A"/>
    <w:rsid w:val="00571500"/>
    <w:rsid w:val="005D140D"/>
    <w:rsid w:val="006706FE"/>
    <w:rsid w:val="006859BA"/>
    <w:rsid w:val="007302F3"/>
    <w:rsid w:val="00791F92"/>
    <w:rsid w:val="008A31B7"/>
    <w:rsid w:val="008C139C"/>
    <w:rsid w:val="009448F9"/>
    <w:rsid w:val="00964F99"/>
    <w:rsid w:val="009777CD"/>
    <w:rsid w:val="009B4925"/>
    <w:rsid w:val="009C1ED2"/>
    <w:rsid w:val="009D477A"/>
    <w:rsid w:val="00A86789"/>
    <w:rsid w:val="00AC716A"/>
    <w:rsid w:val="00AD0244"/>
    <w:rsid w:val="00B86A80"/>
    <w:rsid w:val="00B942FD"/>
    <w:rsid w:val="00BA2AE7"/>
    <w:rsid w:val="00BE1252"/>
    <w:rsid w:val="00C223CE"/>
    <w:rsid w:val="00D03A45"/>
    <w:rsid w:val="00DC76A2"/>
    <w:rsid w:val="00DF5931"/>
    <w:rsid w:val="00E154B2"/>
    <w:rsid w:val="00F8159B"/>
    <w:rsid w:val="00FA2B84"/>
    <w:rsid w:val="00FD5F5F"/>
    <w:rsid w:val="00FE37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9B"/>
    <w:rPr>
      <w:rFonts w:ascii="Verdana" w:hAnsi="Verdana"/>
      <w:color w:val="000066"/>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59B"/>
    <w:rPr>
      <w:rFonts w:cs="Times New Roman"/>
      <w:color w:val="3333CC"/>
      <w:u w:val="single"/>
    </w:rPr>
  </w:style>
  <w:style w:type="paragraph" w:customStyle="1" w:styleId="ConsPlusNonformat">
    <w:name w:val="ConsPlusNonformat"/>
    <w:basedOn w:val="Normal"/>
    <w:uiPriority w:val="99"/>
    <w:rsid w:val="00F8159B"/>
    <w:pPr>
      <w:autoSpaceDE w:val="0"/>
      <w:autoSpaceDN w:val="0"/>
    </w:pPr>
    <w:rPr>
      <w:rFonts w:ascii="Courier New" w:hAnsi="Courier New" w:cs="Courier New"/>
      <w:color w:val="auto"/>
      <w:sz w:val="20"/>
      <w:szCs w:val="20"/>
      <w:lang w:eastAsia="ru-RU"/>
    </w:rPr>
  </w:style>
  <w:style w:type="paragraph" w:styleId="ListParagraph">
    <w:name w:val="List Paragraph"/>
    <w:basedOn w:val="Normal"/>
    <w:uiPriority w:val="99"/>
    <w:qFormat/>
    <w:rsid w:val="00BE1252"/>
    <w:pPr>
      <w:ind w:left="720"/>
      <w:contextualSpacing/>
    </w:pPr>
  </w:style>
</w:styles>
</file>

<file path=word/webSettings.xml><?xml version="1.0" encoding="utf-8"?>
<w:webSettings xmlns:r="http://schemas.openxmlformats.org/officeDocument/2006/relationships" xmlns:w="http://schemas.openxmlformats.org/wordprocessingml/2006/main">
  <w:divs>
    <w:div w:id="739450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tp.moesk.ru/map4/repower_lis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1432</Words>
  <Characters>8163</Characters>
  <Application>Microsoft Office Outlook</Application>
  <DocSecurity>0</DocSecurity>
  <Lines>0</Lines>
  <Paragraphs>0</Paragraphs>
  <ScaleCrop>false</ScaleCrop>
  <Company>МРСК Сибири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УСЛУГИ (ПРОЦЕССА) </dc:title>
  <dc:subject/>
  <dc:creator>Гнатенко Екатерина Юрьевна</dc:creator>
  <cp:keywords/>
  <dc:description/>
  <cp:lastModifiedBy>ivanova-mv</cp:lastModifiedBy>
  <cp:revision>7</cp:revision>
  <cp:lastPrinted>2015-04-06T09:15:00Z</cp:lastPrinted>
  <dcterms:created xsi:type="dcterms:W3CDTF">2015-04-06T08:11:00Z</dcterms:created>
  <dcterms:modified xsi:type="dcterms:W3CDTF">2015-04-06T09:16:00Z</dcterms:modified>
</cp:coreProperties>
</file>